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850"/>
        <w:rPr>
          <w:rFonts w:ascii="Times New Roman" w:hAnsi="Times New Roman"/>
          <w:sz w:val="28"/>
        </w:rPr>
      </w:pPr>
    </w:p>
    <w:p w14:paraId="02000000">
      <w:pPr>
        <w:spacing w:after="0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Ограничения для уволенных с государственной службы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2-х лет после увольнения замещавшие должности государственной или муниципальной службы, включенные в перечень, установленный нормативными правовыми актами Российской Федерации, в соответствии с которым служащие обязаны предоставлять сведения о доходах, расходах, об имуществе и обязательствах имущественного характера, в случае устройства на работу на условиях трудового договора в организацию или оказания услуг по гражданско-правовому договору с оплатой более 100 тыс. руб. в месяц обязаны сообщить новому работодателю о последнем месте службы.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Последний в 10-дневный срок после заключения договора обязан уведомить об этом предыдущего работодателя. Неисполнение данного требования закона влечет административную ответственность работодателя. Срок на привлечение к ответственности - 6 лет;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бывший государственный или муниципальный служащий принимается на работу в организацию, в отношении которой он ранее осуществлял функции государственного (муниципального) управления, для трудоустройства ему необходимо получить согласие комиссии по соблюдению требований к служебному поведению государственных или муниципальных служащих и урегулированию конфликта интересов бывшего работодателя.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Неисполнение данного требования закона влечет расторжение трудового договора.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Исключением из названного правила является трудоустройство на новую государственную или муниципальную службу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Default Paragraph Font"/>
    <w:link w:val="Style_2_ch"/>
  </w:style>
  <w:style w:styleId="Style_2_ch" w:type="character">
    <w:name w:val="Default Paragraph Font"/>
    <w:link w:val="Style_2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2025-06-03T08:36:45Z</dcterms:modified>
</cp:coreProperties>
</file>